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theme/themeOverride4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212797" w14:textId="2DC772E9" w:rsidR="00CF4641" w:rsidRPr="00CF4641" w:rsidRDefault="00CF4641" w:rsidP="00CF4641">
      <w:pPr>
        <w:jc w:val="both"/>
        <w:rPr>
          <w:rFonts w:ascii="Arial" w:hAnsi="Arial" w:cs="Arial"/>
          <w:sz w:val="22"/>
          <w:szCs w:val="22"/>
          <w:lang w:val="es-ES"/>
        </w:rPr>
      </w:pPr>
      <w:r w:rsidRPr="00CF4641">
        <w:rPr>
          <w:rFonts w:ascii="Arial" w:hAnsi="Arial" w:cs="Arial"/>
          <w:i/>
          <w:sz w:val="22"/>
          <w:szCs w:val="22"/>
          <w:lang w:val="es-ES"/>
        </w:rPr>
        <w:t xml:space="preserve">8. </w:t>
      </w:r>
      <w:r w:rsidRPr="00CF4641">
        <w:rPr>
          <w:rFonts w:ascii="Arial" w:hAnsi="Arial" w:cs="Arial"/>
          <w:i/>
          <w:sz w:val="22"/>
          <w:szCs w:val="22"/>
          <w:lang w:val="es-ES"/>
        </w:rPr>
        <w:t>Que controles internos la entidad realiza para ver</w:t>
      </w:r>
      <w:r w:rsidRPr="00CF4641">
        <w:rPr>
          <w:rFonts w:ascii="Arial" w:hAnsi="Arial" w:cs="Arial"/>
          <w:i/>
          <w:sz w:val="22"/>
          <w:szCs w:val="22"/>
          <w:lang w:val="es-ES"/>
        </w:rPr>
        <w:t xml:space="preserve">ificar que los operadores están </w:t>
      </w:r>
      <w:r w:rsidRPr="00CF4641">
        <w:rPr>
          <w:rFonts w:ascii="Arial" w:hAnsi="Arial" w:cs="Arial"/>
          <w:i/>
          <w:sz w:val="22"/>
          <w:szCs w:val="22"/>
          <w:lang w:val="es-ES"/>
        </w:rPr>
        <w:t>atendiendo de manera adecuada a la ciudadanía</w:t>
      </w:r>
      <w:r w:rsidRPr="00CF4641">
        <w:rPr>
          <w:rFonts w:ascii="Arial" w:hAnsi="Arial" w:cs="Arial"/>
          <w:sz w:val="22"/>
          <w:szCs w:val="22"/>
          <w:lang w:val="es-ES"/>
        </w:rPr>
        <w:t>.</w:t>
      </w:r>
    </w:p>
    <w:p w14:paraId="7C30302C" w14:textId="589A6B5B" w:rsidR="00F16503" w:rsidRPr="00CF4641" w:rsidRDefault="00CF4641" w:rsidP="00CF4641">
      <w:pPr>
        <w:jc w:val="both"/>
        <w:rPr>
          <w:rFonts w:ascii="Arial" w:hAnsi="Arial" w:cs="Arial"/>
          <w:sz w:val="22"/>
          <w:szCs w:val="22"/>
          <w:lang w:val="es-ES"/>
        </w:rPr>
      </w:pPr>
      <w:r w:rsidRPr="00CF4641">
        <w:rPr>
          <w:rFonts w:ascii="Arial" w:hAnsi="Arial" w:cs="Arial"/>
          <w:b/>
          <w:sz w:val="22"/>
          <w:szCs w:val="22"/>
          <w:lang w:val="es-ES"/>
        </w:rPr>
        <w:t>Respuesta</w:t>
      </w:r>
      <w:r>
        <w:rPr>
          <w:rFonts w:ascii="Arial" w:hAnsi="Arial" w:cs="Arial"/>
          <w:sz w:val="22"/>
          <w:szCs w:val="22"/>
          <w:lang w:val="es-ES"/>
        </w:rPr>
        <w:t xml:space="preserve">: </w:t>
      </w:r>
      <w:r w:rsidR="00F16503" w:rsidRPr="00CF4641">
        <w:rPr>
          <w:rFonts w:ascii="Arial" w:hAnsi="Arial" w:cs="Arial"/>
          <w:sz w:val="22"/>
          <w:szCs w:val="22"/>
          <w:lang w:val="es-ES"/>
        </w:rPr>
        <w:t xml:space="preserve">La Subred Integrada de Servicios de Salud Sur E.S.E a través de la Oficina de Participación Comunitaria y Servicio al Ciudadano realiza seguimiento a los informadores de servicio al ciudadano, quienes realizan las siguientes actividades en el marco de la atención </w:t>
      </w:r>
      <w:r w:rsidRPr="00CF4641">
        <w:rPr>
          <w:rFonts w:ascii="Arial" w:hAnsi="Arial" w:cs="Arial"/>
          <w:sz w:val="22"/>
          <w:szCs w:val="22"/>
          <w:lang w:val="es-ES"/>
        </w:rPr>
        <w:t>ambulatoria:</w:t>
      </w:r>
      <w:r w:rsidR="00F16503" w:rsidRPr="00CF4641">
        <w:rPr>
          <w:rFonts w:ascii="Arial" w:hAnsi="Arial" w:cs="Arial"/>
          <w:sz w:val="22"/>
          <w:szCs w:val="22"/>
          <w:lang w:val="es-ES"/>
        </w:rPr>
        <w:t xml:space="preserve"> </w:t>
      </w:r>
    </w:p>
    <w:p w14:paraId="078E0F68" w14:textId="77777777" w:rsidR="00D87AA7" w:rsidRPr="00CF4641" w:rsidRDefault="00D87AA7" w:rsidP="00CF4641">
      <w:pPr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CF4641">
        <w:rPr>
          <w:rFonts w:ascii="Arial" w:eastAsia="Times New Roman" w:hAnsi="Arial" w:cs="Arial"/>
          <w:color w:val="000000"/>
          <w:sz w:val="22"/>
          <w:szCs w:val="22"/>
        </w:rPr>
        <w:t>1. Informar y orientar a los usuarios y su familia de manera presencial en las sedes de la Subred Integrada de Servicios de Salud Sur o mediante atención telefónica, promoviendo el enfoque diferencial según la necesidad de los mismos y entregar soporte físico de la atención individual o grupal y realizar los registros en el aplicativo SI CUENTANOS de manera oportuna.</w:t>
      </w:r>
    </w:p>
    <w:p w14:paraId="1AC65681" w14:textId="77777777" w:rsidR="00DA473B" w:rsidRPr="00CF4641" w:rsidRDefault="00D87AA7" w:rsidP="00CF4641">
      <w:pPr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CF4641">
        <w:rPr>
          <w:rFonts w:ascii="Arial" w:eastAsia="Times New Roman" w:hAnsi="Arial" w:cs="Arial"/>
          <w:color w:val="000000"/>
          <w:sz w:val="22"/>
          <w:szCs w:val="22"/>
        </w:rPr>
        <w:t>2. Realizar filtro de ingreso en la Unidad de Servicios de Salud, para identificar necesidad de usuarios y direccionar de manera adecuada, cálida, oportuna y efectiva: verificando la documentación pertinente, de acuerdo al servicio requerido.</w:t>
      </w:r>
    </w:p>
    <w:p w14:paraId="56D06A7F" w14:textId="77777777" w:rsidR="00DA473B" w:rsidRPr="00CF4641" w:rsidRDefault="00D87AA7" w:rsidP="00CF4641">
      <w:pPr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CF4641">
        <w:rPr>
          <w:rFonts w:ascii="Arial" w:eastAsia="Times New Roman" w:hAnsi="Arial" w:cs="Arial"/>
          <w:color w:val="000000"/>
          <w:sz w:val="22"/>
          <w:szCs w:val="22"/>
        </w:rPr>
        <w:t>3. Identificar población preferencial, poblacional y especial gestionando su atención con celeridad contribuyendo a la atención integral y con calidad y realizar los registros SI CUENTANOS</w:t>
      </w:r>
    </w:p>
    <w:p w14:paraId="517F238F" w14:textId="77777777" w:rsidR="00DA473B" w:rsidRPr="00CF4641" w:rsidRDefault="00D87AA7" w:rsidP="00CF4641">
      <w:pPr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CF4641">
        <w:rPr>
          <w:rFonts w:ascii="Arial" w:eastAsia="Times New Roman" w:hAnsi="Arial" w:cs="Arial"/>
          <w:color w:val="000000"/>
          <w:sz w:val="22"/>
          <w:szCs w:val="22"/>
        </w:rPr>
        <w:t xml:space="preserve"> 4. Realizar divulgación permanente de información de interés en sala de espera para los usuarios de los servicios, derechos y deberes del paciente, portafolio de servicios, mecanismos de escucha, y demás requeridos por la Subred Integrada de Servicios de Salud Sur E.S.E </w:t>
      </w:r>
    </w:p>
    <w:p w14:paraId="57904B29" w14:textId="1492742A" w:rsidR="00F16503" w:rsidRPr="00CF4641" w:rsidRDefault="00D87AA7" w:rsidP="00CF4641">
      <w:pPr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CF4641">
        <w:rPr>
          <w:rFonts w:ascii="Arial" w:eastAsia="Times New Roman" w:hAnsi="Arial" w:cs="Arial"/>
          <w:color w:val="000000"/>
          <w:sz w:val="22"/>
          <w:szCs w:val="22"/>
        </w:rPr>
        <w:t>5. Realizar y/o tabular encuestas de satisfacción de acuerdo a meta individual establecida de satisfacción del usuario y su familia de los diferentes servicios de la institución donde se requiera.</w:t>
      </w:r>
    </w:p>
    <w:p w14:paraId="02962B49" w14:textId="5B24DC0C" w:rsidR="00DA473B" w:rsidRPr="00CF4641" w:rsidRDefault="00DA473B" w:rsidP="00CF4641">
      <w:pPr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CF4641">
        <w:rPr>
          <w:rFonts w:ascii="Arial" w:eastAsia="Times New Roman" w:hAnsi="Arial" w:cs="Arial"/>
          <w:color w:val="000000"/>
          <w:sz w:val="22"/>
          <w:szCs w:val="22"/>
        </w:rPr>
        <w:t xml:space="preserve">Para el fortalecimiento y garantía del cumplimiento de estas actividades en beneficio de la ciudadanía la Oficina de Participación Comunitaria y Servicio al Ciudadano realiza seguimiento diario a los informadores </w:t>
      </w:r>
      <w:r w:rsidR="001E62D6" w:rsidRPr="00CF4641">
        <w:rPr>
          <w:rFonts w:ascii="Arial" w:eastAsia="Times New Roman" w:hAnsi="Arial" w:cs="Arial"/>
          <w:color w:val="000000"/>
          <w:sz w:val="22"/>
          <w:szCs w:val="22"/>
        </w:rPr>
        <w:t>y las necesidades que identifican en los servicios, fortalecimiento de habilidades mensualmente en temáticas de interés en salud</w:t>
      </w:r>
      <w:r w:rsidR="00547DAD" w:rsidRPr="00CF4641">
        <w:rPr>
          <w:rFonts w:ascii="Arial" w:eastAsia="Times New Roman" w:hAnsi="Arial" w:cs="Arial"/>
          <w:color w:val="000000"/>
          <w:sz w:val="22"/>
          <w:szCs w:val="22"/>
        </w:rPr>
        <w:t xml:space="preserve"> y </w:t>
      </w:r>
      <w:r w:rsidR="009272A7" w:rsidRPr="00CF4641">
        <w:rPr>
          <w:rFonts w:ascii="Arial" w:eastAsia="Times New Roman" w:hAnsi="Arial" w:cs="Arial"/>
          <w:color w:val="000000"/>
          <w:sz w:val="22"/>
          <w:szCs w:val="22"/>
        </w:rPr>
        <w:t xml:space="preserve">asistencias técnicas de seguimiento en las unidades de servicios de salud por parte de un profesional </w:t>
      </w:r>
      <w:r w:rsidR="00C72D9B" w:rsidRPr="00CF4641">
        <w:rPr>
          <w:rFonts w:ascii="Arial" w:eastAsia="Times New Roman" w:hAnsi="Arial" w:cs="Arial"/>
          <w:color w:val="000000"/>
          <w:sz w:val="22"/>
          <w:szCs w:val="22"/>
        </w:rPr>
        <w:t xml:space="preserve">con </w:t>
      </w:r>
      <w:r w:rsidR="00547DAD" w:rsidRPr="00CF4641">
        <w:rPr>
          <w:rFonts w:ascii="Arial" w:eastAsia="Times New Roman" w:hAnsi="Arial" w:cs="Arial"/>
          <w:color w:val="000000"/>
          <w:sz w:val="22"/>
          <w:szCs w:val="22"/>
        </w:rPr>
        <w:t xml:space="preserve">el objetivo de identificar oportunidades de mejora en la calidad de los servicios ofertados por el equipo de servicio al ciudadano </w:t>
      </w:r>
    </w:p>
    <w:p w14:paraId="1E73DDF4" w14:textId="210F2DEA" w:rsidR="005F2667" w:rsidRPr="00CF4641" w:rsidRDefault="005F2667" w:rsidP="00CF4641">
      <w:pPr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CF4641">
        <w:rPr>
          <w:rFonts w:ascii="Arial" w:eastAsia="Times New Roman" w:hAnsi="Arial" w:cs="Arial"/>
          <w:color w:val="000000"/>
          <w:sz w:val="22"/>
          <w:szCs w:val="22"/>
        </w:rPr>
        <w:t>Para el 2024 y 2025 se realiza evaluación de los canales de acceso para la atención a usuarios que se encontraban en sala con el siguiente resultado:</w:t>
      </w:r>
    </w:p>
    <w:p w14:paraId="5E6124AD" w14:textId="5A0E5D4D" w:rsidR="00E43D5C" w:rsidRPr="00CF4641" w:rsidRDefault="00CB1A56" w:rsidP="00CF4641">
      <w:pPr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CF4641">
        <w:rPr>
          <w:rFonts w:ascii="Arial" w:eastAsia="Times New Roman" w:hAnsi="Arial" w:cs="Arial"/>
          <w:color w:val="000000"/>
          <w:sz w:val="22"/>
          <w:szCs w:val="22"/>
        </w:rPr>
        <w:t xml:space="preserve">En el 2024 a la pregunta ¿La facilidad para conseguir la cita o turno para la atención fue? El resultado fue el siguiente </w:t>
      </w:r>
    </w:p>
    <w:tbl>
      <w:tblPr>
        <w:tblW w:w="85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4"/>
        <w:gridCol w:w="2844"/>
        <w:gridCol w:w="2844"/>
      </w:tblGrid>
      <w:tr w:rsidR="00CB1A56" w:rsidRPr="00CF4641" w14:paraId="313B9FB6" w14:textId="77777777" w:rsidTr="00CF4641">
        <w:trPr>
          <w:trHeight w:val="182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6F8C32F2" w14:textId="77777777" w:rsidR="00CB1A56" w:rsidRPr="00CF4641" w:rsidRDefault="00CB1A56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18"/>
                <w:szCs w:val="18"/>
                <w:lang w:eastAsia="es-CO"/>
                <w14:ligatures w14:val="none"/>
              </w:rPr>
              <w:t>Opción</w:t>
            </w:r>
          </w:p>
        </w:tc>
        <w:tc>
          <w:tcPr>
            <w:tcW w:w="2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708B5B62" w14:textId="77777777" w:rsidR="00CB1A56" w:rsidRPr="00CF4641" w:rsidRDefault="00CB1A56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18"/>
                <w:szCs w:val="18"/>
                <w:lang w:eastAsia="es-CO"/>
                <w14:ligatures w14:val="none"/>
              </w:rPr>
              <w:t>Total</w:t>
            </w:r>
          </w:p>
        </w:tc>
        <w:tc>
          <w:tcPr>
            <w:tcW w:w="2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2D3DA6FA" w14:textId="77777777" w:rsidR="00CB1A56" w:rsidRPr="00CF4641" w:rsidRDefault="00CB1A56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18"/>
                <w:szCs w:val="18"/>
                <w:lang w:eastAsia="es-CO"/>
                <w14:ligatures w14:val="none"/>
              </w:rPr>
              <w:t>%</w:t>
            </w:r>
          </w:p>
        </w:tc>
      </w:tr>
      <w:tr w:rsidR="00CB1A56" w:rsidRPr="00CF4641" w14:paraId="2D429CD6" w14:textId="77777777" w:rsidTr="00CF4641">
        <w:trPr>
          <w:trHeight w:val="2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AC941" w14:textId="77777777" w:rsidR="00CB1A56" w:rsidRPr="00CF4641" w:rsidRDefault="00CB1A56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Buena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AF09" w14:textId="77777777" w:rsidR="00CB1A56" w:rsidRPr="00CF4641" w:rsidRDefault="00CB1A56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478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2BFBD" w14:textId="77777777" w:rsidR="00CB1A56" w:rsidRPr="00CF4641" w:rsidRDefault="00CB1A56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65,57%</w:t>
            </w:r>
          </w:p>
        </w:tc>
      </w:tr>
      <w:tr w:rsidR="00CB1A56" w:rsidRPr="00CF4641" w14:paraId="274095C0" w14:textId="77777777" w:rsidTr="00CF4641">
        <w:trPr>
          <w:trHeight w:val="77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79C26" w14:textId="77777777" w:rsidR="00CB1A56" w:rsidRPr="00CF4641" w:rsidRDefault="00CB1A56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Muy buena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E58EA" w14:textId="77777777" w:rsidR="00CB1A56" w:rsidRPr="00CF4641" w:rsidRDefault="00CB1A56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150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5CD44" w14:textId="77777777" w:rsidR="00CB1A56" w:rsidRPr="00CF4641" w:rsidRDefault="00CB1A56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20,58%</w:t>
            </w:r>
          </w:p>
        </w:tc>
      </w:tr>
      <w:tr w:rsidR="00CB1A56" w:rsidRPr="00CF4641" w14:paraId="2A790ED9" w14:textId="77777777" w:rsidTr="00CF4641">
        <w:trPr>
          <w:trHeight w:val="94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DBDBD" w14:textId="77777777" w:rsidR="00CB1A56" w:rsidRPr="00CF4641" w:rsidRDefault="00CB1A56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Regular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4F771" w14:textId="77777777" w:rsidR="00CB1A56" w:rsidRPr="00CF4641" w:rsidRDefault="00CB1A56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89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58697" w14:textId="77777777" w:rsidR="00CB1A56" w:rsidRPr="00CF4641" w:rsidRDefault="00CB1A56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12,21%</w:t>
            </w:r>
          </w:p>
        </w:tc>
      </w:tr>
      <w:tr w:rsidR="00CB1A56" w:rsidRPr="00CF4641" w14:paraId="3D1BF32E" w14:textId="77777777" w:rsidTr="00CF4641">
        <w:trPr>
          <w:trHeight w:val="7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B52F5" w14:textId="77777777" w:rsidR="00CB1A56" w:rsidRPr="00CF4641" w:rsidRDefault="00CB1A56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Mala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A365A" w14:textId="77777777" w:rsidR="00CB1A56" w:rsidRPr="00CF4641" w:rsidRDefault="00CB1A56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9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40120" w14:textId="77777777" w:rsidR="00CB1A56" w:rsidRPr="00CF4641" w:rsidRDefault="00CB1A56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1,23%</w:t>
            </w:r>
          </w:p>
        </w:tc>
      </w:tr>
      <w:tr w:rsidR="00CB1A56" w:rsidRPr="00CF4641" w14:paraId="33677372" w14:textId="77777777" w:rsidTr="00CF4641">
        <w:trPr>
          <w:trHeight w:val="13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CFB48" w14:textId="77777777" w:rsidR="00CB1A56" w:rsidRPr="00CF4641" w:rsidRDefault="00CB1A56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Muy mala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0F59D" w14:textId="77777777" w:rsidR="00CB1A56" w:rsidRPr="00CF4641" w:rsidRDefault="00CB1A56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3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B56A2" w14:textId="77777777" w:rsidR="00CB1A56" w:rsidRPr="00CF4641" w:rsidRDefault="00CB1A56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0,41%</w:t>
            </w:r>
          </w:p>
        </w:tc>
      </w:tr>
      <w:tr w:rsidR="00CB1A56" w:rsidRPr="00CF4641" w14:paraId="217ADD7E" w14:textId="77777777" w:rsidTr="00CF4641">
        <w:trPr>
          <w:trHeight w:val="7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22C4BA27" w14:textId="77777777" w:rsidR="00CB1A56" w:rsidRPr="00CF4641" w:rsidRDefault="00CB1A56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Total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026268F" w14:textId="77777777" w:rsidR="00CB1A56" w:rsidRPr="00CF4641" w:rsidRDefault="00CB1A56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729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2A2253A" w14:textId="77777777" w:rsidR="00CB1A56" w:rsidRPr="00CF4641" w:rsidRDefault="00CB1A56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100,00%</w:t>
            </w:r>
          </w:p>
        </w:tc>
      </w:tr>
    </w:tbl>
    <w:p w14:paraId="0237C4A6" w14:textId="32734612" w:rsidR="00CB1A56" w:rsidRPr="00CF4641" w:rsidRDefault="00CB1A56" w:rsidP="00CF4641">
      <w:pPr>
        <w:spacing w:line="261" w:lineRule="auto"/>
        <w:mirrorIndents/>
        <w:jc w:val="both"/>
        <w:rPr>
          <w:rFonts w:ascii="Arial" w:hAnsi="Arial" w:cs="Arial"/>
          <w:sz w:val="18"/>
          <w:szCs w:val="18"/>
        </w:rPr>
      </w:pPr>
      <w:r w:rsidRPr="00CF4641">
        <w:rPr>
          <w:rFonts w:ascii="Arial" w:hAnsi="Arial" w:cs="Arial"/>
          <w:sz w:val="18"/>
          <w:szCs w:val="18"/>
        </w:rPr>
        <w:t>Fuente: Consolidado Satisfacción Subred Sur de 2024.</w:t>
      </w:r>
    </w:p>
    <w:p w14:paraId="68C4F4BC" w14:textId="66EDC27C" w:rsidR="00E43D5C" w:rsidRPr="00CF4641" w:rsidRDefault="00E43D5C" w:rsidP="00CF4641">
      <w:pPr>
        <w:jc w:val="both"/>
        <w:rPr>
          <w:rFonts w:ascii="Arial" w:eastAsia="Times New Roman" w:hAnsi="Arial" w:cs="Arial"/>
          <w:color w:val="000000"/>
          <w:sz w:val="22"/>
          <w:szCs w:val="22"/>
        </w:rPr>
      </w:pPr>
    </w:p>
    <w:p w14:paraId="4A4B085B" w14:textId="71CA0611" w:rsidR="00E43D5C" w:rsidRPr="00CF4641" w:rsidRDefault="00CB1A56" w:rsidP="00CF4641">
      <w:pPr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CF4641">
        <w:rPr>
          <w:rFonts w:ascii="Arial" w:hAnsi="Arial" w:cs="Arial"/>
          <w:noProof/>
          <w:sz w:val="22"/>
          <w:szCs w:val="22"/>
          <w:lang w:val="es-ES"/>
        </w:rPr>
        <w:drawing>
          <wp:inline distT="0" distB="0" distL="0" distR="0" wp14:anchorId="6E579FC7" wp14:editId="7FF5CE5E">
            <wp:extent cx="5372100" cy="2705100"/>
            <wp:effectExtent l="0" t="0" r="0" b="0"/>
            <wp:docPr id="7" name="Gráfico 7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25E0AE5-440B-4673-9BCE-C1870605A39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1477B830" w14:textId="1663149B" w:rsidR="00E43D5C" w:rsidRPr="00CF4641" w:rsidRDefault="00CB1A56" w:rsidP="00CF4641">
      <w:pPr>
        <w:spacing w:line="261" w:lineRule="auto"/>
        <w:mirrorIndents/>
        <w:jc w:val="both"/>
        <w:rPr>
          <w:rFonts w:ascii="Arial" w:hAnsi="Arial" w:cs="Arial"/>
          <w:sz w:val="22"/>
          <w:szCs w:val="22"/>
        </w:rPr>
      </w:pPr>
      <w:r w:rsidRPr="00CF4641">
        <w:rPr>
          <w:rFonts w:ascii="Arial" w:hAnsi="Arial" w:cs="Arial"/>
          <w:sz w:val="18"/>
          <w:szCs w:val="18"/>
        </w:rPr>
        <w:t>Fuente: Consolidado Satisfacción Subred Sur de 2024</w:t>
      </w:r>
      <w:r w:rsidRPr="00CF4641">
        <w:rPr>
          <w:rFonts w:ascii="Arial" w:hAnsi="Arial" w:cs="Arial"/>
          <w:sz w:val="22"/>
          <w:szCs w:val="22"/>
        </w:rPr>
        <w:t>.</w:t>
      </w:r>
    </w:p>
    <w:p w14:paraId="2EDBFB88" w14:textId="1DBB3F03" w:rsidR="005F2667" w:rsidRPr="00CF4641" w:rsidRDefault="005F2667" w:rsidP="00CF4641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  <w:r w:rsidRPr="00CF4641">
        <w:rPr>
          <w:rFonts w:ascii="Arial" w:eastAsia="Times New Roman" w:hAnsi="Arial" w:cs="Arial"/>
          <w:color w:val="000000"/>
          <w:sz w:val="22"/>
          <w:szCs w:val="22"/>
        </w:rPr>
        <w:t xml:space="preserve">En el 2024 a la pregunta </w:t>
      </w:r>
      <w:r w:rsidRPr="00CF4641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¿Cuál fue el medio que utilizó para programar su cita? </w:t>
      </w:r>
    </w:p>
    <w:tbl>
      <w:tblPr>
        <w:tblW w:w="87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7"/>
        <w:gridCol w:w="2467"/>
        <w:gridCol w:w="2467"/>
      </w:tblGrid>
      <w:tr w:rsidR="005F2667" w:rsidRPr="00CF4641" w14:paraId="6CE7C4FD" w14:textId="77777777" w:rsidTr="00CF4641">
        <w:trPr>
          <w:trHeight w:val="152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736B7525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18"/>
                <w:szCs w:val="18"/>
                <w:lang w:eastAsia="es-CO"/>
                <w14:ligatures w14:val="none"/>
              </w:rPr>
              <w:t>Opción</w:t>
            </w: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7C7A060C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18"/>
                <w:szCs w:val="18"/>
                <w:lang w:eastAsia="es-CO"/>
                <w14:ligatures w14:val="none"/>
              </w:rPr>
              <w:t>Total</w:t>
            </w: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7046F311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18"/>
                <w:szCs w:val="18"/>
                <w:lang w:eastAsia="es-CO"/>
                <w14:ligatures w14:val="none"/>
              </w:rPr>
              <w:t>%</w:t>
            </w:r>
          </w:p>
        </w:tc>
      </w:tr>
      <w:tr w:rsidR="005F2667" w:rsidRPr="00CF4641" w14:paraId="7D351B22" w14:textId="77777777" w:rsidTr="00CF4641">
        <w:trPr>
          <w:trHeight w:val="199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D1AD2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De 15 a 20 minutos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A95F8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178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84753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24,42%</w:t>
            </w:r>
          </w:p>
        </w:tc>
      </w:tr>
      <w:tr w:rsidR="005F2667" w:rsidRPr="00CF4641" w14:paraId="42648032" w14:textId="77777777" w:rsidTr="00CF4641">
        <w:trPr>
          <w:trHeight w:val="244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EDB56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De 5 a 10 minutos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17956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164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8C544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22,50%</w:t>
            </w:r>
          </w:p>
        </w:tc>
      </w:tr>
      <w:tr w:rsidR="005F2667" w:rsidRPr="00CF4641" w14:paraId="1A99267F" w14:textId="77777777" w:rsidTr="00CF4641">
        <w:trPr>
          <w:trHeight w:val="70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6C460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De 10 a 15 minutos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851EB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161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B834E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22,09%</w:t>
            </w:r>
          </w:p>
        </w:tc>
      </w:tr>
      <w:tr w:rsidR="005F2667" w:rsidRPr="00CF4641" w14:paraId="3E6D4919" w14:textId="77777777" w:rsidTr="005F2667">
        <w:trPr>
          <w:trHeight w:val="216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6A3D7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Más de 20 minutos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83071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151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747E0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20,71%</w:t>
            </w:r>
          </w:p>
        </w:tc>
      </w:tr>
      <w:tr w:rsidR="005F2667" w:rsidRPr="00CF4641" w14:paraId="1901BF17" w14:textId="77777777" w:rsidTr="005F2667">
        <w:trPr>
          <w:trHeight w:val="216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A0D11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De 0 a 5 minutos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3F582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69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E35C5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9,47%</w:t>
            </w:r>
          </w:p>
        </w:tc>
      </w:tr>
      <w:tr w:rsidR="005F2667" w:rsidRPr="00CF4641" w14:paraId="0F23A52F" w14:textId="77777777" w:rsidTr="00CF4641">
        <w:trPr>
          <w:trHeight w:val="158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CA287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Más de 30 minutos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418B1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6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41DAF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0,82%</w:t>
            </w:r>
          </w:p>
        </w:tc>
      </w:tr>
      <w:tr w:rsidR="005F2667" w:rsidRPr="00CF4641" w14:paraId="0A18156A" w14:textId="77777777" w:rsidTr="005F2667">
        <w:trPr>
          <w:trHeight w:val="216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584B10C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Total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2E89034F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729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950C165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100,00%</w:t>
            </w:r>
          </w:p>
        </w:tc>
      </w:tr>
    </w:tbl>
    <w:p w14:paraId="79989DDF" w14:textId="7FB22728" w:rsidR="005F2667" w:rsidRPr="00CF4641" w:rsidRDefault="005F2667" w:rsidP="00CF4641">
      <w:pPr>
        <w:spacing w:line="261" w:lineRule="auto"/>
        <w:mirrorIndents/>
        <w:jc w:val="both"/>
        <w:rPr>
          <w:rFonts w:ascii="Arial" w:hAnsi="Arial" w:cs="Arial"/>
          <w:sz w:val="18"/>
          <w:szCs w:val="18"/>
        </w:rPr>
      </w:pPr>
      <w:r w:rsidRPr="00CF4641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 w:rsidRPr="00CF4641">
        <w:rPr>
          <w:rFonts w:ascii="Arial" w:hAnsi="Arial" w:cs="Arial"/>
          <w:sz w:val="18"/>
          <w:szCs w:val="18"/>
        </w:rPr>
        <w:t>Fuente: Consolidado Satisfacción Subred Sur I de 2024.</w:t>
      </w:r>
    </w:p>
    <w:p w14:paraId="301A93C6" w14:textId="6EED6680" w:rsidR="00387406" w:rsidRPr="00CF4641" w:rsidRDefault="00387406" w:rsidP="00CF4641">
      <w:pPr>
        <w:jc w:val="both"/>
        <w:rPr>
          <w:rFonts w:ascii="Arial" w:eastAsia="Times New Roman" w:hAnsi="Arial" w:cs="Arial"/>
          <w:color w:val="000000"/>
          <w:sz w:val="22"/>
          <w:szCs w:val="22"/>
        </w:rPr>
      </w:pPr>
    </w:p>
    <w:p w14:paraId="046CF842" w14:textId="1BE18548" w:rsidR="00CF4641" w:rsidRPr="00CF4641" w:rsidRDefault="005F2667" w:rsidP="00CF4641">
      <w:pPr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CF4641">
        <w:rPr>
          <w:rFonts w:ascii="Arial" w:hAnsi="Arial" w:cs="Arial"/>
          <w:noProof/>
          <w:sz w:val="22"/>
          <w:szCs w:val="22"/>
          <w:lang w:val="es-ES"/>
        </w:rPr>
        <w:drawing>
          <wp:inline distT="0" distB="0" distL="0" distR="0" wp14:anchorId="78CA3F73" wp14:editId="0AF15C5F">
            <wp:extent cx="5438775" cy="2428875"/>
            <wp:effectExtent l="0" t="0" r="9525" b="9525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20A51CC-2831-4D97-9C41-EA24C8B37E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r w:rsidRPr="00CF4641">
        <w:rPr>
          <w:rFonts w:ascii="Arial" w:hAnsi="Arial" w:cs="Arial"/>
          <w:sz w:val="18"/>
          <w:szCs w:val="18"/>
        </w:rPr>
        <w:t>Fuente: Consolidado Satisfacción Subred Sur de 2024.</w:t>
      </w:r>
      <w:bookmarkStart w:id="0" w:name="_GoBack"/>
      <w:bookmarkEnd w:id="0"/>
    </w:p>
    <w:p w14:paraId="7A0F7DD0" w14:textId="4EAB638D" w:rsidR="005F2667" w:rsidRPr="00CF4641" w:rsidRDefault="005F2667" w:rsidP="00CF4641">
      <w:pPr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CF4641">
        <w:rPr>
          <w:rFonts w:ascii="Arial" w:eastAsia="Times New Roman" w:hAnsi="Arial" w:cs="Arial"/>
          <w:color w:val="000000"/>
          <w:sz w:val="22"/>
          <w:szCs w:val="22"/>
        </w:rPr>
        <w:t>Para el 2025 los resultados fueron los siguientes:</w:t>
      </w:r>
    </w:p>
    <w:p w14:paraId="3DBDED72" w14:textId="77777777" w:rsidR="00CB1A56" w:rsidRPr="00CF4641" w:rsidRDefault="00CB1A56" w:rsidP="00CF4641">
      <w:pPr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CF4641">
        <w:rPr>
          <w:rFonts w:ascii="Arial" w:eastAsia="Times New Roman" w:hAnsi="Arial" w:cs="Arial"/>
          <w:color w:val="000000"/>
          <w:sz w:val="22"/>
          <w:szCs w:val="22"/>
        </w:rPr>
        <w:t>En cuanto a la pregunta ¿La facilidad para conseguir la cita o turno para la atención fue? El resultado fue el siguiente:</w:t>
      </w:r>
    </w:p>
    <w:tbl>
      <w:tblPr>
        <w:tblW w:w="79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39"/>
        <w:gridCol w:w="2639"/>
        <w:gridCol w:w="2639"/>
      </w:tblGrid>
      <w:tr w:rsidR="00CB1A56" w:rsidRPr="00CF4641" w14:paraId="6B3CC520" w14:textId="77777777" w:rsidTr="00CE3177">
        <w:trPr>
          <w:trHeight w:val="272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3A4AF991" w14:textId="77777777" w:rsidR="00CB1A56" w:rsidRPr="00CF4641" w:rsidRDefault="00CB1A56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18"/>
                <w:szCs w:val="18"/>
                <w:lang w:eastAsia="es-CO"/>
                <w14:ligatures w14:val="none"/>
              </w:rPr>
              <w:lastRenderedPageBreak/>
              <w:t>Opción</w:t>
            </w:r>
          </w:p>
        </w:tc>
        <w:tc>
          <w:tcPr>
            <w:tcW w:w="2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695510A1" w14:textId="77777777" w:rsidR="00CB1A56" w:rsidRPr="00CF4641" w:rsidRDefault="00CB1A56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18"/>
                <w:szCs w:val="18"/>
                <w:lang w:eastAsia="es-CO"/>
                <w14:ligatures w14:val="none"/>
              </w:rPr>
              <w:t>Total</w:t>
            </w:r>
          </w:p>
        </w:tc>
        <w:tc>
          <w:tcPr>
            <w:tcW w:w="2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7F6BF256" w14:textId="77777777" w:rsidR="00CB1A56" w:rsidRPr="00CF4641" w:rsidRDefault="00CB1A56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18"/>
                <w:szCs w:val="18"/>
                <w:lang w:eastAsia="es-CO"/>
                <w14:ligatures w14:val="none"/>
              </w:rPr>
              <w:t>%</w:t>
            </w:r>
          </w:p>
        </w:tc>
      </w:tr>
      <w:tr w:rsidR="00CB1A56" w:rsidRPr="00CF4641" w14:paraId="4969EEB3" w14:textId="77777777" w:rsidTr="00CE3177">
        <w:trPr>
          <w:trHeight w:val="272"/>
        </w:trPr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34E72" w14:textId="77777777" w:rsidR="00CB1A56" w:rsidRPr="00CF4641" w:rsidRDefault="00CB1A56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Buena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51B98" w14:textId="77777777" w:rsidR="00CB1A56" w:rsidRPr="00CF4641" w:rsidRDefault="00CB1A56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268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06831" w14:textId="77777777" w:rsidR="00CB1A56" w:rsidRPr="00CF4641" w:rsidRDefault="00CB1A56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62,76%</w:t>
            </w:r>
          </w:p>
        </w:tc>
      </w:tr>
      <w:tr w:rsidR="00CB1A56" w:rsidRPr="00CF4641" w14:paraId="52122596" w14:textId="77777777" w:rsidTr="00CE3177">
        <w:trPr>
          <w:trHeight w:val="272"/>
        </w:trPr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72D21" w14:textId="77777777" w:rsidR="00CB1A56" w:rsidRPr="00CF4641" w:rsidRDefault="00CB1A56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Regular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B3E9A" w14:textId="77777777" w:rsidR="00CB1A56" w:rsidRPr="00CF4641" w:rsidRDefault="00CB1A56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D7E47" w14:textId="77777777" w:rsidR="00CB1A56" w:rsidRPr="00CF4641" w:rsidRDefault="00CB1A56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27,40%</w:t>
            </w:r>
          </w:p>
        </w:tc>
      </w:tr>
      <w:tr w:rsidR="00CB1A56" w:rsidRPr="00CF4641" w14:paraId="0DC258FE" w14:textId="77777777" w:rsidTr="00CE3177">
        <w:trPr>
          <w:trHeight w:val="272"/>
        </w:trPr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8C363" w14:textId="77777777" w:rsidR="00CB1A56" w:rsidRPr="00CF4641" w:rsidRDefault="00CB1A56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Muy buena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C62EA" w14:textId="77777777" w:rsidR="00CB1A56" w:rsidRPr="00CF4641" w:rsidRDefault="00CB1A56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31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B7C74" w14:textId="77777777" w:rsidR="00CB1A56" w:rsidRPr="00CF4641" w:rsidRDefault="00CB1A56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7,26%</w:t>
            </w:r>
          </w:p>
        </w:tc>
      </w:tr>
      <w:tr w:rsidR="00CB1A56" w:rsidRPr="00CF4641" w14:paraId="6C660873" w14:textId="77777777" w:rsidTr="00CE3177">
        <w:trPr>
          <w:trHeight w:val="272"/>
        </w:trPr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CBC7F" w14:textId="77777777" w:rsidR="00CB1A56" w:rsidRPr="00CF4641" w:rsidRDefault="00CB1A56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Mala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84520" w14:textId="77777777" w:rsidR="00CB1A56" w:rsidRPr="00CF4641" w:rsidRDefault="00CB1A56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8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0D987" w14:textId="77777777" w:rsidR="00CB1A56" w:rsidRPr="00CF4641" w:rsidRDefault="00CB1A56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1,87%</w:t>
            </w:r>
          </w:p>
        </w:tc>
      </w:tr>
      <w:tr w:rsidR="00CB1A56" w:rsidRPr="00CF4641" w14:paraId="6AC64089" w14:textId="77777777" w:rsidTr="00CE3177">
        <w:trPr>
          <w:trHeight w:val="272"/>
        </w:trPr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F2003" w14:textId="77777777" w:rsidR="00CB1A56" w:rsidRPr="00CF4641" w:rsidRDefault="00CB1A56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Muy mala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BCCDC" w14:textId="77777777" w:rsidR="00CB1A56" w:rsidRPr="00CF4641" w:rsidRDefault="00CB1A56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3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EEF7C" w14:textId="77777777" w:rsidR="00CB1A56" w:rsidRPr="00CF4641" w:rsidRDefault="00CB1A56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0,70%</w:t>
            </w:r>
          </w:p>
        </w:tc>
      </w:tr>
      <w:tr w:rsidR="00CB1A56" w:rsidRPr="00CF4641" w14:paraId="0F434962" w14:textId="77777777" w:rsidTr="00CE3177">
        <w:trPr>
          <w:trHeight w:val="272"/>
        </w:trPr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2A6B577" w14:textId="77777777" w:rsidR="00CB1A56" w:rsidRPr="00CF4641" w:rsidRDefault="00CB1A56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Total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08C6D12" w14:textId="77777777" w:rsidR="00CB1A56" w:rsidRPr="00CF4641" w:rsidRDefault="00CB1A56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427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6413963" w14:textId="77777777" w:rsidR="00CB1A56" w:rsidRPr="00CF4641" w:rsidRDefault="00CB1A56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100,00%</w:t>
            </w:r>
          </w:p>
        </w:tc>
      </w:tr>
    </w:tbl>
    <w:p w14:paraId="2362F3D8" w14:textId="77777777" w:rsidR="00CB1A56" w:rsidRPr="00CF4641" w:rsidRDefault="00CB1A56" w:rsidP="00CF4641">
      <w:pPr>
        <w:spacing w:line="261" w:lineRule="auto"/>
        <w:mirrorIndents/>
        <w:jc w:val="both"/>
        <w:rPr>
          <w:rFonts w:ascii="Arial" w:hAnsi="Arial" w:cs="Arial"/>
          <w:sz w:val="18"/>
          <w:szCs w:val="18"/>
        </w:rPr>
      </w:pPr>
      <w:r w:rsidRPr="00CF4641">
        <w:rPr>
          <w:rFonts w:ascii="Arial" w:hAnsi="Arial" w:cs="Arial"/>
          <w:sz w:val="18"/>
          <w:szCs w:val="18"/>
        </w:rPr>
        <w:t>Fuente: Consolidado Satisfacción Subred Sur de 2025.</w:t>
      </w:r>
    </w:p>
    <w:p w14:paraId="370DC90C" w14:textId="1AAC454C" w:rsidR="00CB1A56" w:rsidRPr="00CF4641" w:rsidRDefault="00CB1A56" w:rsidP="00CF4641">
      <w:pPr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CF4641">
        <w:rPr>
          <w:rFonts w:ascii="Arial" w:hAnsi="Arial" w:cs="Arial"/>
          <w:noProof/>
          <w:sz w:val="22"/>
          <w:szCs w:val="22"/>
          <w:lang w:val="es-ES"/>
        </w:rPr>
        <w:drawing>
          <wp:inline distT="0" distB="0" distL="0" distR="0" wp14:anchorId="4FEE7969" wp14:editId="0AB493D4">
            <wp:extent cx="5105400" cy="2219325"/>
            <wp:effectExtent l="0" t="0" r="0" b="9525"/>
            <wp:docPr id="5" name="Gráfico 5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0737B3D-C470-4C1B-87B0-9F525984A21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r w:rsidRPr="00CF4641">
        <w:rPr>
          <w:rFonts w:ascii="Arial" w:hAnsi="Arial" w:cs="Arial"/>
          <w:sz w:val="18"/>
          <w:szCs w:val="18"/>
        </w:rPr>
        <w:t>Fuente: Consolidado Satisfacción Subred Sur de 2025.</w:t>
      </w:r>
    </w:p>
    <w:tbl>
      <w:tblPr>
        <w:tblW w:w="85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5"/>
        <w:gridCol w:w="2429"/>
        <w:gridCol w:w="2429"/>
      </w:tblGrid>
      <w:tr w:rsidR="005F2667" w:rsidRPr="00CF4641" w14:paraId="5BDCC63F" w14:textId="77777777" w:rsidTr="005F2667">
        <w:trPr>
          <w:trHeight w:val="252"/>
        </w:trPr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1596AE87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18"/>
                <w:szCs w:val="18"/>
                <w:lang w:eastAsia="es-CO"/>
                <w14:ligatures w14:val="none"/>
              </w:rPr>
              <w:t>Opción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50B21DB3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18"/>
                <w:szCs w:val="18"/>
                <w:lang w:eastAsia="es-CO"/>
                <w14:ligatures w14:val="none"/>
              </w:rPr>
              <w:t>Total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5C2A3FC1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18"/>
                <w:szCs w:val="18"/>
                <w:lang w:eastAsia="es-CO"/>
                <w14:ligatures w14:val="none"/>
              </w:rPr>
              <w:t>% DE ESPERA EN LÍNEA 2025</w:t>
            </w:r>
          </w:p>
        </w:tc>
      </w:tr>
      <w:tr w:rsidR="005F2667" w:rsidRPr="00CF4641" w14:paraId="7F9D5B2D" w14:textId="77777777" w:rsidTr="005F2667">
        <w:trPr>
          <w:trHeight w:val="252"/>
        </w:trPr>
        <w:tc>
          <w:tcPr>
            <w:tcW w:w="3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E57BF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Más de 20 minutos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913B4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214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5A7A6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50,12%</w:t>
            </w:r>
          </w:p>
        </w:tc>
      </w:tr>
      <w:tr w:rsidR="005F2667" w:rsidRPr="00CF4641" w14:paraId="4F5C4AB8" w14:textId="77777777" w:rsidTr="005F2667">
        <w:trPr>
          <w:trHeight w:val="252"/>
        </w:trPr>
        <w:tc>
          <w:tcPr>
            <w:tcW w:w="3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FBF50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De 5 a 10 minutos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B448B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74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1523A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17,33%</w:t>
            </w:r>
          </w:p>
        </w:tc>
      </w:tr>
      <w:tr w:rsidR="005F2667" w:rsidRPr="00CF4641" w14:paraId="750CF5BC" w14:textId="77777777" w:rsidTr="005F2667">
        <w:trPr>
          <w:trHeight w:val="252"/>
        </w:trPr>
        <w:tc>
          <w:tcPr>
            <w:tcW w:w="3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B51E8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De 10 a 15 minutos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1FBB0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62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15094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14,52%</w:t>
            </w:r>
          </w:p>
        </w:tc>
      </w:tr>
      <w:tr w:rsidR="005F2667" w:rsidRPr="00CF4641" w14:paraId="65F4823C" w14:textId="77777777" w:rsidTr="005F2667">
        <w:trPr>
          <w:trHeight w:val="252"/>
        </w:trPr>
        <w:tc>
          <w:tcPr>
            <w:tcW w:w="3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C2170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De 15 a 20 minutos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B8E24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54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8EDB8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12,65%</w:t>
            </w:r>
          </w:p>
        </w:tc>
      </w:tr>
      <w:tr w:rsidR="005F2667" w:rsidRPr="00CF4641" w14:paraId="033B0878" w14:textId="77777777" w:rsidTr="005F2667">
        <w:trPr>
          <w:trHeight w:val="252"/>
        </w:trPr>
        <w:tc>
          <w:tcPr>
            <w:tcW w:w="3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52231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De 0 a 5 minutos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DAF4E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15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B26C4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3,51%</w:t>
            </w:r>
          </w:p>
        </w:tc>
      </w:tr>
      <w:tr w:rsidR="005F2667" w:rsidRPr="00CF4641" w14:paraId="739C9402" w14:textId="77777777" w:rsidTr="005F2667">
        <w:trPr>
          <w:trHeight w:val="252"/>
        </w:trPr>
        <w:tc>
          <w:tcPr>
            <w:tcW w:w="3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0A037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Más de 30 minutos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F0F70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8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001AA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1,87%</w:t>
            </w:r>
          </w:p>
        </w:tc>
      </w:tr>
      <w:tr w:rsidR="005F2667" w:rsidRPr="00CF4641" w14:paraId="0AA6B62D" w14:textId="77777777" w:rsidTr="005F2667">
        <w:trPr>
          <w:trHeight w:val="252"/>
        </w:trPr>
        <w:tc>
          <w:tcPr>
            <w:tcW w:w="3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8E71097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Total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3745CD4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427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21A010B" w14:textId="77777777" w:rsidR="005F2667" w:rsidRPr="00CF4641" w:rsidRDefault="005F2667" w:rsidP="00CF464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</w:pPr>
            <w:r w:rsidRPr="00CF464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s-CO"/>
                <w14:ligatures w14:val="none"/>
              </w:rPr>
              <w:t>100,00%</w:t>
            </w:r>
          </w:p>
        </w:tc>
      </w:tr>
    </w:tbl>
    <w:p w14:paraId="0E5813FE" w14:textId="776C8EB9" w:rsidR="005F2667" w:rsidRPr="00CF4641" w:rsidRDefault="0072656C" w:rsidP="00CF4641">
      <w:pPr>
        <w:spacing w:line="261" w:lineRule="auto"/>
        <w:mirrorIndents/>
        <w:jc w:val="both"/>
        <w:rPr>
          <w:rFonts w:ascii="Arial" w:hAnsi="Arial" w:cs="Arial"/>
          <w:sz w:val="18"/>
          <w:szCs w:val="18"/>
        </w:rPr>
      </w:pPr>
      <w:r w:rsidRPr="00CF4641">
        <w:rPr>
          <w:rFonts w:ascii="Arial" w:hAnsi="Arial" w:cs="Arial"/>
          <w:sz w:val="18"/>
          <w:szCs w:val="18"/>
        </w:rPr>
        <w:t>Fuente: Consolidado Satisfacción Subred Sur de 2025.</w:t>
      </w:r>
    </w:p>
    <w:p w14:paraId="14981D9C" w14:textId="77777777" w:rsidR="00E43D5C" w:rsidRPr="00CF4641" w:rsidRDefault="005F2667" w:rsidP="00CF4641">
      <w:pPr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CF4641">
        <w:rPr>
          <w:rFonts w:ascii="Arial" w:hAnsi="Arial" w:cs="Arial"/>
          <w:noProof/>
          <w:sz w:val="22"/>
          <w:szCs w:val="22"/>
          <w:lang w:val="es-ES"/>
        </w:rPr>
        <w:drawing>
          <wp:inline distT="0" distB="0" distL="0" distR="0" wp14:anchorId="3AB8270A" wp14:editId="45BE8FDC">
            <wp:extent cx="4572000" cy="2743200"/>
            <wp:effectExtent l="0" t="0" r="0" b="0"/>
            <wp:docPr id="3" name="Gráfico 3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AEA7433-F963-4030-971E-83C8F059D3A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7919E74B" w14:textId="5D8D663D" w:rsidR="0072656C" w:rsidRPr="00CF4641" w:rsidRDefault="0072656C" w:rsidP="00CF4641">
      <w:pPr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CF4641">
        <w:rPr>
          <w:rFonts w:ascii="Arial" w:hAnsi="Arial" w:cs="Arial"/>
          <w:sz w:val="18"/>
          <w:szCs w:val="18"/>
        </w:rPr>
        <w:t>Fuente: Consolidado Satisfacción Subred Sur de 2025.</w:t>
      </w:r>
    </w:p>
    <w:p w14:paraId="5B4DEED5" w14:textId="77777777" w:rsidR="00E43D5C" w:rsidRPr="00CF4641" w:rsidRDefault="00E43D5C" w:rsidP="00CF4641">
      <w:pPr>
        <w:jc w:val="both"/>
        <w:rPr>
          <w:rFonts w:ascii="Arial" w:eastAsia="Times New Roman" w:hAnsi="Arial" w:cs="Arial"/>
          <w:color w:val="000000"/>
          <w:sz w:val="22"/>
          <w:szCs w:val="22"/>
        </w:rPr>
      </w:pPr>
    </w:p>
    <w:sectPr w:rsidR="00E43D5C" w:rsidRPr="00CF46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503"/>
    <w:rsid w:val="00084E99"/>
    <w:rsid w:val="001E62D6"/>
    <w:rsid w:val="00387406"/>
    <w:rsid w:val="00547DAD"/>
    <w:rsid w:val="005F2667"/>
    <w:rsid w:val="0072656C"/>
    <w:rsid w:val="009272A7"/>
    <w:rsid w:val="00C72D9B"/>
    <w:rsid w:val="00CB1A56"/>
    <w:rsid w:val="00CF4641"/>
    <w:rsid w:val="00D87AA7"/>
    <w:rsid w:val="00DA473B"/>
    <w:rsid w:val="00E43D5C"/>
    <w:rsid w:val="00F1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2FA27"/>
  <w15:chartTrackingRefBased/>
  <w15:docId w15:val="{B813B8B3-74AC-284E-A508-1896FC327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es-E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165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165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165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165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165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165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165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165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165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165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165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165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1650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16503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1650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1650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1650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16503"/>
    <w:rPr>
      <w:rFonts w:eastAsiaTheme="majorEastAsia" w:cstheme="majorBidi"/>
      <w:color w:val="272727" w:themeColor="text1" w:themeTint="D8"/>
    </w:rPr>
  </w:style>
  <w:style w:type="paragraph" w:styleId="Puesto">
    <w:name w:val="Title"/>
    <w:basedOn w:val="Normal"/>
    <w:next w:val="Normal"/>
    <w:link w:val="PuestoCar"/>
    <w:uiPriority w:val="10"/>
    <w:qFormat/>
    <w:rsid w:val="00F165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F165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165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F165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F165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F1650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F16503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F16503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165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1650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1650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Hoja_de_c_lculo_de_Microsoft_Excel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Hoja_de_c_lculo_de_Microsoft_Excel2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package" Target="../embeddings/Hoja_de_c_lculo_de_Microsoft_Excel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4.xml"/><Relationship Id="rId2" Type="http://schemas.microsoft.com/office/2011/relationships/chartColorStyle" Target="colors4.xml"/><Relationship Id="rId1" Type="http://schemas.microsoft.com/office/2011/relationships/chartStyle" Target="style4.xml"/><Relationship Id="rId4" Type="http://schemas.openxmlformats.org/officeDocument/2006/relationships/package" Target="../embeddings/Hoja_de_c_lculo_de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CO" sz="1400" b="0" i="0" baseline="0">
                <a:effectLst/>
              </a:rPr>
              <a:t>FACILIDAD PARA CONSEGUIR LA CITA</a:t>
            </a:r>
            <a:endParaRPr lang="es-CO" sz="1400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Hoja1!$N$1</c:f>
              <c:strCache>
                <c:ptCount val="1"/>
                <c:pt idx="0">
                  <c:v>%</c:v>
                </c:pt>
              </c:strCache>
            </c:strRef>
          </c:tx>
          <c:spPr>
            <a:solidFill>
              <a:srgbClr val="FFC00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Hoja1!$L$2:$L$6</c:f>
              <c:strCache>
                <c:ptCount val="5"/>
                <c:pt idx="0">
                  <c:v>Buena</c:v>
                </c:pt>
                <c:pt idx="1">
                  <c:v>Muy buena</c:v>
                </c:pt>
                <c:pt idx="2">
                  <c:v>Regular</c:v>
                </c:pt>
                <c:pt idx="3">
                  <c:v>Mala</c:v>
                </c:pt>
                <c:pt idx="4">
                  <c:v>Muy mala</c:v>
                </c:pt>
              </c:strCache>
            </c:strRef>
          </c:cat>
          <c:val>
            <c:numRef>
              <c:f>Hoja1!$N$2:$N$6</c:f>
              <c:numCache>
                <c:formatCode>0.00%</c:formatCode>
                <c:ptCount val="5"/>
                <c:pt idx="0">
                  <c:v>0.65569272976680382</c:v>
                </c:pt>
                <c:pt idx="1">
                  <c:v>0.20576131687242799</c:v>
                </c:pt>
                <c:pt idx="2">
                  <c:v>0.12208504801097393</c:v>
                </c:pt>
                <c:pt idx="3">
                  <c:v>1.2345679012345678E-2</c:v>
                </c:pt>
                <c:pt idx="4">
                  <c:v>4.11522633744856E-3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17B-40A4-93F4-9A4D9EC46A86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409171960"/>
        <c:axId val="409173136"/>
      </c:barChart>
      <c:catAx>
        <c:axId val="4091719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409173136"/>
        <c:crosses val="autoZero"/>
        <c:auto val="1"/>
        <c:lblAlgn val="ctr"/>
        <c:lblOffset val="100"/>
        <c:noMultiLvlLbl val="0"/>
      </c:catAx>
      <c:valAx>
        <c:axId val="4091731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4091719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ES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% DE ESPERA LÍNEAS DE ATENCIÓN</a:t>
            </a:r>
            <a:r>
              <a:rPr lang="en-US" baseline="0"/>
              <a:t> AMBULATORIO</a:t>
            </a:r>
            <a:r>
              <a:rPr lang="en-US"/>
              <a:t> 2024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Hoja1!$C$1</c:f>
              <c:strCache>
                <c:ptCount val="1"/>
                <c:pt idx="0">
                  <c:v>%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Hoja1!$A$2:$A$7</c:f>
              <c:strCache>
                <c:ptCount val="6"/>
                <c:pt idx="0">
                  <c:v>De 15 a 20 minutos</c:v>
                </c:pt>
                <c:pt idx="1">
                  <c:v>De 5 a 10 minutos</c:v>
                </c:pt>
                <c:pt idx="2">
                  <c:v>De 10 a 15 minutos</c:v>
                </c:pt>
                <c:pt idx="3">
                  <c:v>Más de 20 minutos</c:v>
                </c:pt>
                <c:pt idx="4">
                  <c:v>De 0 a 5 minutos</c:v>
                </c:pt>
                <c:pt idx="5">
                  <c:v>Más de 30 minutos</c:v>
                </c:pt>
              </c:strCache>
            </c:strRef>
          </c:cat>
          <c:val>
            <c:numRef>
              <c:f>Hoja1!$C$2:$C$7</c:f>
              <c:numCache>
                <c:formatCode>0.00%</c:formatCode>
                <c:ptCount val="6"/>
                <c:pt idx="0">
                  <c:v>0.24417009602194786</c:v>
                </c:pt>
                <c:pt idx="1">
                  <c:v>0.22496570644718794</c:v>
                </c:pt>
                <c:pt idx="2">
                  <c:v>0.22085048010973937</c:v>
                </c:pt>
                <c:pt idx="3">
                  <c:v>0.20713305898491083</c:v>
                </c:pt>
                <c:pt idx="4">
                  <c:v>9.4650205761316872E-2</c:v>
                </c:pt>
                <c:pt idx="5">
                  <c:v>8.23045267489712E-3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11D-45E8-86A6-A55D84BA7FEB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409167648"/>
        <c:axId val="409164904"/>
      </c:barChart>
      <c:catAx>
        <c:axId val="4091676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409164904"/>
        <c:crosses val="autoZero"/>
        <c:auto val="1"/>
        <c:lblAlgn val="ctr"/>
        <c:lblOffset val="100"/>
        <c:noMultiLvlLbl val="0"/>
      </c:catAx>
      <c:valAx>
        <c:axId val="4091649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4091676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ES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CO"/>
              <a:t>FACILIDAD</a:t>
            </a:r>
            <a:r>
              <a:rPr lang="es-CO" baseline="0"/>
              <a:t> PARA CONSEGUIR LA CITA</a:t>
            </a:r>
            <a:endParaRPr lang="es-CO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Hoja1!$N$16</c:f>
              <c:strCache>
                <c:ptCount val="1"/>
                <c:pt idx="0">
                  <c:v>%</c:v>
                </c:pt>
              </c:strCache>
            </c:strRef>
          </c:tx>
          <c:spPr>
            <a:solidFill>
              <a:srgbClr val="FFC00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Hoja1!$L$17:$L$21</c:f>
              <c:strCache>
                <c:ptCount val="5"/>
                <c:pt idx="0">
                  <c:v>Buena</c:v>
                </c:pt>
                <c:pt idx="1">
                  <c:v>Regular</c:v>
                </c:pt>
                <c:pt idx="2">
                  <c:v>Muy buena</c:v>
                </c:pt>
                <c:pt idx="3">
                  <c:v>Mala</c:v>
                </c:pt>
                <c:pt idx="4">
                  <c:v>Muy mala</c:v>
                </c:pt>
              </c:strCache>
            </c:strRef>
          </c:cat>
          <c:val>
            <c:numRef>
              <c:f>Hoja1!$N$17:$N$21</c:f>
              <c:numCache>
                <c:formatCode>0.00%</c:formatCode>
                <c:ptCount val="5"/>
                <c:pt idx="0">
                  <c:v>0.6276346604215457</c:v>
                </c:pt>
                <c:pt idx="1">
                  <c:v>0.27400468384074944</c:v>
                </c:pt>
                <c:pt idx="2">
                  <c:v>7.2599531615925056E-2</c:v>
                </c:pt>
                <c:pt idx="3">
                  <c:v>1.873536299765808E-2</c:v>
                </c:pt>
                <c:pt idx="4">
                  <c:v>7.0257611241217799E-3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15D-4B49-94C4-CA90B10A7CBA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409166080"/>
        <c:axId val="409166864"/>
      </c:barChart>
      <c:catAx>
        <c:axId val="4091660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409166864"/>
        <c:crosses val="autoZero"/>
        <c:auto val="1"/>
        <c:lblAlgn val="ctr"/>
        <c:lblOffset val="100"/>
        <c:noMultiLvlLbl val="0"/>
      </c:catAx>
      <c:valAx>
        <c:axId val="4091668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4091660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ES"/>
    </a:p>
  </c:txPr>
  <c:externalData r:id="rId4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% DE ESPERA LÍNEA  DE ATENCIÓN AMBULATORIO 2025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Hoja1!$C$17</c:f>
              <c:strCache>
                <c:ptCount val="1"/>
                <c:pt idx="0">
                  <c:v>% DE ESPERA EN LÍNEA 2025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Hoja1!$A$18:$A$23</c:f>
              <c:strCache>
                <c:ptCount val="6"/>
                <c:pt idx="0">
                  <c:v>Más de 20 minutos</c:v>
                </c:pt>
                <c:pt idx="1">
                  <c:v>De 5 a 10 minutos</c:v>
                </c:pt>
                <c:pt idx="2">
                  <c:v>De 10 a 15 minutos</c:v>
                </c:pt>
                <c:pt idx="3">
                  <c:v>De 15 a 20 minutos</c:v>
                </c:pt>
                <c:pt idx="4">
                  <c:v>De 0 a 5 minutos</c:v>
                </c:pt>
                <c:pt idx="5">
                  <c:v>Más de 30 minutos</c:v>
                </c:pt>
              </c:strCache>
            </c:strRef>
          </c:cat>
          <c:val>
            <c:numRef>
              <c:f>Hoja1!$C$18:$C$23</c:f>
              <c:numCache>
                <c:formatCode>0.00%</c:formatCode>
                <c:ptCount val="6"/>
                <c:pt idx="0">
                  <c:v>0.50117096018735363</c:v>
                </c:pt>
                <c:pt idx="1">
                  <c:v>0.17330210772833723</c:v>
                </c:pt>
                <c:pt idx="2">
                  <c:v>0.14519906323185011</c:v>
                </c:pt>
                <c:pt idx="3">
                  <c:v>0.12646370023419204</c:v>
                </c:pt>
                <c:pt idx="4">
                  <c:v>3.5128805620608897E-2</c:v>
                </c:pt>
                <c:pt idx="5">
                  <c:v>1.873536299765808E-2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948-4FD6-B9AB-4B783AED35E4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409168824"/>
        <c:axId val="409169216"/>
      </c:barChart>
      <c:catAx>
        <c:axId val="4091688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409169216"/>
        <c:crosses val="autoZero"/>
        <c:auto val="1"/>
        <c:lblAlgn val="ctr"/>
        <c:lblOffset val="100"/>
        <c:noMultiLvlLbl val="0"/>
      </c:catAx>
      <c:valAx>
        <c:axId val="4091692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409168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E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604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Dajanna Sanabria Ortiz</dc:creator>
  <cp:keywords/>
  <dc:description/>
  <cp:lastModifiedBy>CARCASA01</cp:lastModifiedBy>
  <cp:revision>5</cp:revision>
  <dcterms:created xsi:type="dcterms:W3CDTF">2025-07-21T15:26:00Z</dcterms:created>
  <dcterms:modified xsi:type="dcterms:W3CDTF">2025-07-21T19:19:00Z</dcterms:modified>
</cp:coreProperties>
</file>